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0" w:firstLineChars="0"/>
        <w:jc w:val="left"/>
        <w:textAlignment w:val="auto"/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eastAsia="仿宋_GB2312"/>
          <w:b/>
          <w:sz w:val="48"/>
        </w:rPr>
      </w:pPr>
      <w:bookmarkStart w:id="0" w:name="_GoBack"/>
      <w:r>
        <w:rPr>
          <w:rFonts w:hint="eastAsia" w:ascii="仿宋_GB2312" w:eastAsia="仿宋_GB2312"/>
          <w:b/>
          <w:sz w:val="48"/>
        </w:rPr>
        <w:t>湖北省省级政府采购询价单</w:t>
      </w:r>
      <w:bookmarkEnd w:id="0"/>
    </w:p>
    <w:p>
      <w:pPr>
        <w:ind w:right="1120"/>
        <w:jc w:val="left"/>
        <w:rPr>
          <w:rFonts w:hint="eastAsia" w:ascii="仿宋_GB2312" w:eastAsia="仿宋_GB2312"/>
          <w:sz w:val="28"/>
        </w:rPr>
      </w:pPr>
      <w:r>
        <w:rPr>
          <w:rFonts w:hint="eastAsia" w:ascii="仿宋_GB2312" w:eastAsia="仿宋_GB2312"/>
          <w:sz w:val="28"/>
          <w:lang w:val="en-US" w:eastAsia="zh-CN"/>
        </w:rPr>
        <w:t>采购项目备案编号：420000-2026-06721                                        2026</w:t>
      </w:r>
      <w:r>
        <w:rPr>
          <w:rFonts w:hint="eastAsia" w:ascii="仿宋_GB2312" w:eastAsia="仿宋_GB2312"/>
          <w:sz w:val="28"/>
        </w:rPr>
        <w:t>年</w:t>
      </w:r>
      <w:r>
        <w:rPr>
          <w:rFonts w:hint="eastAsia" w:ascii="仿宋_GB2312"/>
          <w:sz w:val="28"/>
          <w:lang w:val="en-US" w:eastAsia="zh-CN"/>
        </w:rPr>
        <w:t>7</w:t>
      </w:r>
      <w:r>
        <w:rPr>
          <w:rFonts w:hint="eastAsia" w:ascii="仿宋_GB2312" w:eastAsia="仿宋_GB2312"/>
          <w:sz w:val="28"/>
        </w:rPr>
        <w:t>月</w:t>
      </w:r>
      <w:r>
        <w:rPr>
          <w:rFonts w:hint="eastAsia" w:ascii="仿宋_GB2312"/>
          <w:sz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</w:rPr>
        <w:t>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776"/>
        <w:gridCol w:w="1767"/>
        <w:gridCol w:w="1635"/>
        <w:gridCol w:w="1693"/>
        <w:gridCol w:w="1207"/>
        <w:gridCol w:w="1575"/>
        <w:gridCol w:w="1576"/>
        <w:gridCol w:w="15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采购单位（加盖公章）：湖北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省农业事业发展中心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11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联系人：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杨涛</w:t>
            </w:r>
          </w:p>
        </w:tc>
        <w:tc>
          <w:tcPr>
            <w:tcW w:w="4535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联系电话：027-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87898311</w:t>
            </w:r>
          </w:p>
        </w:tc>
        <w:tc>
          <w:tcPr>
            <w:tcW w:w="4728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传真：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求</w:t>
            </w:r>
          </w:p>
        </w:tc>
        <w:tc>
          <w:tcPr>
            <w:tcW w:w="17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品名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规格型号</w:t>
            </w:r>
          </w:p>
        </w:tc>
        <w:tc>
          <w:tcPr>
            <w:tcW w:w="3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配置或技术参数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  <w:t>(※为必须满足项，▲号为可偏离项)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5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供货时间</w:t>
            </w:r>
          </w:p>
        </w:tc>
        <w:tc>
          <w:tcPr>
            <w:tcW w:w="15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供货地点</w:t>
            </w:r>
          </w:p>
        </w:tc>
        <w:tc>
          <w:tcPr>
            <w:tcW w:w="15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手机屏蔽柜</w:t>
            </w:r>
          </w:p>
        </w:tc>
        <w:tc>
          <w:tcPr>
            <w:tcW w:w="1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1.落地式手机屏蔽柜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▲1.整体尺寸:1570(高)*520(宽)*325(深)mm;抽屉尺寸:82(高)*47(宽)*218(深)mm。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※2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存放配置要求:可存放手机的格数≥36格，每个手机存放格可同时存放手机数≥3部;有可以存放IPAD、平板的独立空间。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※3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为防止手机在存取时磕碰、磨损，存放格采用ABS材料，保护垫采用TPE材料。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※4、开门方式:把手采用磁短路技术和多角度悬停机构，保障开门省力顺滑。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▲5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柜体各表面均应进行除污、除锈、磷化、表调、清洗、烘干处理后进行静电喷涂，喷涂粉末采用无磷环保喷涂粉末，喷涂厚度不低于80um。喷涂面盐雾测试通过时长≥360小时。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※6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能有效屏蔽移动、联通、电信网络的2G、3G、4G、5G信号，移动热点和WIFI信号，通过国家保密标准BMB49-2020检测认证，提供在有效期内的证书和相关检测报告。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7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合同签订之日起20个日历天内完成所有产品采购、运输、安装，并通过验收。</w:t>
            </w:r>
          </w:p>
        </w:tc>
        <w:tc>
          <w:tcPr>
            <w:tcW w:w="157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省农业发展中心</w:t>
            </w:r>
          </w:p>
        </w:tc>
        <w:tc>
          <w:tcPr>
            <w:tcW w:w="157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2.壁挂/移动式手机屏蔽柜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3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▲1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整体尺寸:593(高)*383(宽)*229(深)mm，抽屉尺寸:25(高)*92(宽)*224.5(深)mm，每个手机存放格可同时存放7寸以下的手机1部。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※2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为防止手机在存取时磕碰、磨损，存放格采用ABS 材料，保护垫采用TPE材料。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※3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开门方式:开门拉手采用偏心轮顶开机构，保障开门省力顺滑。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※4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重量≤14KG(士1KG)，配置壁挂安装底盘，通过卡扣设计实现壁挂。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▲5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柜体各表面均应进行除污、除锈、磷化、表调、清洗、烘干处理后进行静电喷涂，在工作表面形成一层致密坚固的皮膜层。喷涂粉末采用无磷环保喷涂粉末，粉末通过SGS 国际检测认证，且喷涂厚度不低于80um。喷涂面盐雾测试通过时长≥360小时。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※6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能有效屏蔽移动、联通、电信网络的2G、3G、4G、5G信号，移动热点和WIFI信号，通过国家保密标准BMB49-2020检测认证，提供在有效期内的证书和相关检测报告。</w:t>
            </w:r>
          </w:p>
        </w:tc>
        <w:tc>
          <w:tcPr>
            <w:tcW w:w="12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1个</w:t>
            </w:r>
          </w:p>
        </w:tc>
        <w:tc>
          <w:tcPr>
            <w:tcW w:w="157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57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</w:p>
        </w:tc>
        <w:tc>
          <w:tcPr>
            <w:tcW w:w="157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回复</w:t>
            </w:r>
          </w:p>
        </w:tc>
        <w:tc>
          <w:tcPr>
            <w:tcW w:w="1776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6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3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93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07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Merge w:val="restar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单价</w:t>
            </w:r>
          </w:p>
        </w:tc>
        <w:tc>
          <w:tcPr>
            <w:tcW w:w="15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68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7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76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3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693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207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4911" w:type="dxa"/>
            <w:gridSpan w:val="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供应商（加盖印章）：</w:t>
            </w:r>
          </w:p>
        </w:tc>
        <w:tc>
          <w:tcPr>
            <w:tcW w:w="332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联系人：</w:t>
            </w:r>
          </w:p>
        </w:tc>
        <w:tc>
          <w:tcPr>
            <w:tcW w:w="2782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联系电话：</w:t>
            </w:r>
          </w:p>
        </w:tc>
        <w:tc>
          <w:tcPr>
            <w:tcW w:w="3153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传真：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0" w:firstLineChars="0"/>
        <w:jc w:val="left"/>
        <w:textAlignment w:val="auto"/>
        <w:rPr>
          <w:rFonts w:hint="eastAsia" w:ascii="仿宋_GB2312" w:hAnsi="仿宋_GB2312" w:cs="仿宋_GB2312"/>
          <w:spacing w:val="0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cs="仿宋_GB2312"/>
          <w:spacing w:val="0"/>
          <w:sz w:val="32"/>
          <w:szCs w:val="32"/>
          <w:lang w:val="en-US" w:eastAsia="zh-CN"/>
        </w:rPr>
      </w:pPr>
    </w:p>
    <w:p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4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21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67CBF"/>
    <w:rsid w:val="2EEEACF1"/>
    <w:rsid w:val="39BD8590"/>
    <w:rsid w:val="42B33FAF"/>
    <w:rsid w:val="73267CBF"/>
    <w:rsid w:val="7DEF4232"/>
    <w:rsid w:val="FFF6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line="420" w:lineRule="auto"/>
    </w:pPr>
    <w:rPr>
      <w:rFonts w:ascii="宋体" w:hAnsi="宋体"/>
      <w:kern w:val="0"/>
      <w:sz w:val="24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3096</Words>
  <Characters>3471</Characters>
  <Lines>0</Lines>
  <Paragraphs>0</Paragraphs>
  <TotalTime>15</TotalTime>
  <ScaleCrop>false</ScaleCrop>
  <LinksUpToDate>false</LinksUpToDate>
  <CharactersWithSpaces>3938</CharactersWithSpaces>
  <Application>WPS Office_11.8.2.9849_F1E327BC-269C-435d-A152-05C5408002CA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2026-06-24T10:16:00Z</dcterms:created>
  <dc:creator>回归</dc:creator>
  <cp:lastModifiedBy>thtf</cp:lastModifiedBy>
  <cp:lastPrinted>2026-06-24T15:17:00Z</cp:lastPrinted>
  <dcterms:modified xsi:type="dcterms:W3CDTF">2026-07-03T17:17:15Z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2052-11.8.2.9849</vt:lpwstr>
  </property>
  <property fmtid="{D5CDD505-2E9C-101B-9397-08002B2CF9AE}" pid="3" name="ICV">
    <vt:lpwstr>2794D031BA77A35F04A93A6AFDCF5E9A_43</vt:lpwstr>
  </property>
  <property fmtid="{D5CDD505-2E9C-101B-9397-08002B2CF9AE}" pid="4" name="KSOTemplateDocerSaveRecord">
    <vt:lpwstr>eyJoZGlkIjoiM2I0MWI2ZWRiNTAzYzNhYjNiNWMxNjlkOTcwNjlkYjciLCJ1c2VySWQiOiIxNTk1OTQ5ODMyIn0=</vt:lpwstr>
  </property>
</Properties>
</file>